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120"/>
        <w:jc w:val="center"/>
        <w:rPr>
          <w:rFonts w:ascii="Times New Roman" w:hAnsi="Times New Roman" w:cs="Times New Roman"/>
          <w:b/>
          <w:b/>
          <w:lang w:eastAsia="ar-SA"/>
        </w:rPr>
      </w:pPr>
      <w:r>
        <w:rPr>
          <w:rFonts w:cs="Times New Roman" w:ascii="Times New Roman" w:hAnsi="Times New Roman"/>
          <w:b/>
          <w:lang w:eastAsia="ar-SA"/>
        </w:rPr>
        <w:t>PROJETO BÁSICO</w:t>
      </w:r>
    </w:p>
    <w:p>
      <w:pPr>
        <w:pStyle w:val="Normal"/>
        <w:spacing w:lineRule="auto" w:line="276" w:before="0" w:after="120"/>
        <w:jc w:val="center"/>
        <w:rPr>
          <w:rFonts w:ascii="Times New Roman" w:hAnsi="Times New Roman" w:cs="Times New Roman"/>
          <w:lang w:eastAsia="ar-SA"/>
        </w:rPr>
      </w:pPr>
      <w:r>
        <w:rPr>
          <w:rFonts w:cs="Times New Roman" w:ascii="Times New Roman" w:hAnsi="Times New Roman"/>
          <w:lang w:eastAsia="ar-SA"/>
        </w:rPr>
        <w:t>(OBRA DE ENGENHARIA)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OBJETO</w:t>
      </w:r>
    </w:p>
    <w:p>
      <w:pPr>
        <w:pStyle w:val="Normal"/>
        <w:widowControl w:val="false"/>
        <w:numPr>
          <w:ilvl w:val="1"/>
          <w:numId w:val="2"/>
        </w:numPr>
        <w:spacing w:lineRule="auto" w:line="276" w:before="0" w:after="283"/>
        <w:jc w:val="both"/>
        <w:rPr>
          <w:rFonts w:ascii="Times New Roman" w:hAnsi="Times New Roman" w:cs="Times New Roman"/>
        </w:rPr>
      </w:pPr>
      <w:r>
        <w:rPr>
          <w:rFonts w:cs="Times New Roman" w:ascii="Times New Roman" w:hAnsi="Times New Roman"/>
        </w:rPr>
        <w:t xml:space="preserve">Contratação de empresa especializada para execução de obra de engenharia referente a </w:t>
      </w:r>
      <w:bookmarkStart w:id="0" w:name="_Hlk133876020"/>
      <w:r>
        <w:rPr>
          <w:rFonts w:cs="Times New Roman" w:ascii="Times New Roman" w:hAnsi="Times New Roman"/>
          <w:b/>
          <w:bCs/>
          <w:sz w:val="24"/>
          <w:szCs w:val="24"/>
        </w:rPr>
        <w:t>Obras e Serviços de Construção de 01 (um) Centro de Educação Infantil no bairro Senador Arnon de Melo  – Arapiraca/AL.</w:t>
      </w:r>
      <w:bookmarkEnd w:id="0"/>
      <w:r>
        <w:rPr>
          <w:rFonts w:cs="Times New Roman" w:ascii="Times New Roman" w:hAnsi="Times New Roman"/>
        </w:rPr>
        <w:t>, conforme condições, quantidades e exigências estabelecidas neste instrumento e seus anexos.</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 xml:space="preserve">1.2. Os quantitativos e respectivos códigos dos itens são os discriminados nos anexos do Projeto Básico. </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1.3. O regime de execução do contrato será o de EMPREITADA POR PREÇO UNITÁRIO.</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VISTORIA</w:t>
      </w:r>
    </w:p>
    <w:p>
      <w:pPr>
        <w:pStyle w:val="Normal"/>
        <w:widowControl w:val="false"/>
        <w:spacing w:lineRule="auto" w:line="276" w:before="0" w:after="283"/>
        <w:ind w:left="284" w:hanging="0"/>
        <w:jc w:val="both"/>
        <w:rPr>
          <w:rFonts w:ascii="Times New Roman" w:hAnsi="Times New Roman" w:cs="Times New Roman"/>
        </w:rPr>
      </w:pPr>
      <w:r>
        <w:rPr>
          <w:rFonts w:cs="Times New Roman" w:ascii="Times New Roman" w:hAnsi="Times New Roman"/>
        </w:rPr>
        <w:t>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deverá declarar que conhece ou verificou todas as dificuldades existentes e se responsabiliza, sob pena de lei, pela execução de serviços nas condições em que se encontra.</w:t>
      </w:r>
    </w:p>
    <w:p>
      <w:pPr>
        <w:pStyle w:val="Normal"/>
        <w:numPr>
          <w:ilvl w:val="0"/>
          <w:numId w:val="2"/>
        </w:numPr>
        <w:spacing w:lineRule="auto" w:line="276" w:before="0" w:after="283"/>
        <w:jc w:val="both"/>
        <w:rPr>
          <w:rFonts w:ascii="Times New Roman" w:hAnsi="Times New Roman" w:cs="Times New Roman"/>
          <w:b/>
          <w:b/>
          <w:u w:val="single"/>
        </w:rPr>
      </w:pPr>
      <w:r>
        <w:rPr>
          <w:rFonts w:cs="Times New Roman" w:ascii="Times New Roman" w:hAnsi="Times New Roman"/>
          <w:b/>
          <w:u w:val="single"/>
        </w:rPr>
        <w:t>EXECUÇÃO DOS SERVIÇOS E SEU RECEBIMENTO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execução dos serviços será iniciada após o recebimento da Ordem de Serviços pela Contratada, cujas etapas observarão o cronograma constante em anexo a este instrumento;</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O recebimento provisório também ficará sujeito, quando cabível, à conclusão de todos os testes de campo e à entrega dos Manuais e Instruções exigíveis;</w:t>
      </w:r>
    </w:p>
    <w:p>
      <w:pPr>
        <w:pStyle w:val="Normal"/>
        <w:numPr>
          <w:ilvl w:val="1"/>
          <w:numId w:val="2"/>
        </w:numPr>
        <w:spacing w:lineRule="auto" w:line="276" w:before="0" w:after="283"/>
        <w:jc w:val="both"/>
        <w:rPr>
          <w:rFonts w:ascii="Times New Roman" w:hAnsi="Times New Roman" w:cs="Times New Roman"/>
          <w:iCs/>
          <w:color w:val="000000"/>
        </w:rPr>
      </w:pPr>
      <w:r>
        <w:rPr>
          <w:rFonts w:cs="Times New Roman" w:ascii="Times New Roman" w:hAnsi="Times New Roman"/>
          <w:iCs/>
          <w:color w:val="00000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Após tal inspeção, será lavrado Termo de Recebimento Provisório, em 02 (duas) vias de igual teor e forma, ambas assinadas pela comissão de Recebimento, relatando as eventuais pendências verificadas;</w:t>
      </w:r>
    </w:p>
    <w:p>
      <w:pPr>
        <w:pStyle w:val="Normal"/>
        <w:numPr>
          <w:ilvl w:val="2"/>
          <w:numId w:val="2"/>
        </w:numPr>
        <w:spacing w:lineRule="auto" w:line="276" w:before="0" w:after="283"/>
        <w:ind w:left="567" w:hanging="0"/>
        <w:jc w:val="both"/>
        <w:rPr>
          <w:rFonts w:ascii="Times New Roman" w:hAnsi="Times New Roman" w:cs="Times New Roman"/>
        </w:rPr>
      </w:pPr>
      <w:r>
        <w:rPr>
          <w:rFonts w:cs="Times New Roman" w:ascii="Times New Roman" w:hAnsi="Times New Roman"/>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pPr>
        <w:pStyle w:val="Normal"/>
        <w:numPr>
          <w:ilvl w:val="1"/>
          <w:numId w:val="2"/>
        </w:numPr>
        <w:spacing w:lineRule="auto" w:line="276" w:before="0" w:after="360"/>
        <w:jc w:val="both"/>
        <w:rPr>
          <w:rFonts w:ascii="Times New Roman" w:hAnsi="Times New Roman" w:cs="Times New Roman"/>
          <w:iCs/>
          <w:color w:val="000000"/>
        </w:rPr>
      </w:pPr>
      <w:r>
        <w:rPr>
          <w:rFonts w:cs="Times New Roman" w:ascii="Times New Roman" w:hAnsi="Times New Roman"/>
          <w:iCs/>
          <w:color w:val="000000"/>
        </w:rPr>
        <w:t>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pPr>
        <w:pStyle w:val="Normal"/>
        <w:numPr>
          <w:ilvl w:val="2"/>
          <w:numId w:val="2"/>
        </w:numPr>
        <w:spacing w:lineRule="auto" w:line="276" w:before="0" w:after="360"/>
        <w:ind w:left="567" w:hanging="0"/>
        <w:jc w:val="both"/>
        <w:rPr>
          <w:rFonts w:ascii="Times New Roman" w:hAnsi="Times New Roman" w:cs="Times New Roman"/>
          <w:lang w:eastAsia="ar-SA"/>
        </w:rPr>
      </w:pPr>
      <w:r>
        <w:rPr>
          <w:rFonts w:cs="Times New Roman" w:ascii="Times New Roman" w:hAnsi="Times New Roman"/>
          <w:lang w:eastAsia="ar-SA"/>
        </w:rPr>
        <w:t>O recebimento definitivo do objeto licitado não exime a Contratada, em qualquer época, das garantias concedidas e das responsabilidades assumidas em contrato e por força das disposições legais em vigor (Lei n° 10.406, de 2002);</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Os serviços poderão ser rejeitados, no todo ou em parte, quando em desacordo com as especificações constantes neste Projeto Básico e na proposta, devendo ser corrigidos/refeitos/substituídos no prazo fixado pelo fiscal do contrato, às custas da contratada, sem prejuízo da aplicação de penalidades.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CONTRATANTE</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o cumprimento de todas as obrigações assumidas pela Contratada, de acordo com as cláusulas contratuais e os termos de sua proposta;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Pagar à Contratada o valor resultante da prestação do serviço, conforme cronograma físico-financeiro ou disponibilidade financeira administrativa.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Efetuar as retenções tributárias devidas sobre o valor da fatura de serviços da Contratada, em conformidade com a legislação em vigor;</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Fornecer por escrito as informações necessárias para o desenvolvimento dos serviços objeto do contrato;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Realizar avaliações periódicas da qualidade dos serviços, após seu recebimento;</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Cientificar o órgão de representação judicial da Administração para adoção das medidas cabíveis quando do descumprimento das obrigações pela Contratada;</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Arquivamento, entre outros documentos, de projetos, "as built", especificações técnicas, orçamentos, termos de recebimento, contratos e aditamentos, relatórios de inspeções técnicas após o recebimento do serviço e notificações expedidas;</w:t>
      </w:r>
    </w:p>
    <w:p>
      <w:pPr>
        <w:pStyle w:val="Normal"/>
        <w:numPr>
          <w:ilvl w:val="1"/>
          <w:numId w:val="2"/>
        </w:numPr>
        <w:spacing w:lineRule="auto" w:line="276" w:before="0" w:after="360"/>
        <w:jc w:val="both"/>
        <w:rPr>
          <w:rFonts w:ascii="Times New Roman" w:hAnsi="Times New Roman" w:cs="Times New Roman"/>
          <w:lang w:eastAsia="ar-SA"/>
        </w:rPr>
      </w:pPr>
      <w:r>
        <w:rPr>
          <w:rFonts w:cs="Times New Roman" w:ascii="Times New Roman" w:hAnsi="Times New Roman"/>
          <w:lang w:eastAsia="ar-SA"/>
        </w:rPr>
        <w:t>Exigir da Contratada que providencie a seguinte documentação como condição indispensável para o recebimento definitivo de objeto, quando for o caso: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w:t>
      </w:r>
      <w:r>
        <w:rPr>
          <w:rFonts w:cs="Times New Roman" w:ascii="Times New Roman" w:hAnsi="Times New Roman"/>
          <w:i/>
        </w:rPr>
        <w:t>as built</w:t>
      </w:r>
      <w:r>
        <w:rPr>
          <w:rFonts w:cs="Times New Roman" w:ascii="Times New Roman" w:hAnsi="Times New Roman"/>
        </w:rPr>
        <w:t>", elaborado pelo responsável por sua execução;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comprovação das ligações definitivas de energia, água, telefone e gás;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laudo de vistoria do corpo de bombeiros aprovando o serviço;</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carta "habite-se", emitida pela prefeitura;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certidão negativa de débitos previdenciários específica para o registro da obra junto ao Cartório de Registro de Imóveis;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reparação dos vícios verificados dentro do prazo de garantia do serviço, tendo em vista o direito assegurado à Contratante no art. 69 da Lei nº 8.666/93 e no art. 12 da Lei nº 8.078/90 (Código de Defesa do Consumidor).</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OBRIGAÇÕES DA CONTRATADA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color w:val="000000"/>
        </w:rPr>
        <w:t xml:space="preserve">Executar os serviços conforme especificações deste Projeto Básico e de sua proposta, com a alocação dos empregados necessários ao perfeito cumprimento das cláusulas contratuais, </w:t>
      </w:r>
      <w:r>
        <w:rPr>
          <w:rFonts w:cs="Times New Roman" w:ascii="Times New Roman" w:hAnsi="Times New Roman"/>
        </w:rPr>
        <w:t>além de fornecer e utilizar os materiais e equipamentos, ferramentas e utensílios necessários, na qualidade e quantidade mínimas especificadas neste instrumento e em sua proposta</w:t>
      </w:r>
      <w:r>
        <w:rPr>
          <w:rFonts w:cs="Times New Roman" w:ascii="Times New Roman" w:hAnsi="Times New Roman"/>
          <w:color w:val="000000"/>
        </w:rPr>
        <w: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Reparar, corrigir, remover ou substituir, às suas expensas, no total ou em parte, no prazo fixado pelo fiscal do contrato, os serviços efetuados em que se verificarem vícios, defeitos ou incorreções resultantes da execução ou dos materiais empregados;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Manter os empregados nos horários predeterminados pela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Utilizar empregados habilitados e com conhecimentos básicos dos serviços a serem executados, em conformidade com as normas e determinações em vigor;</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os empregados devidamente identificados por meio de crachá, além de provê-los com os Equipamentos de Proteção Individual - EPI;</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à Contratante, quando for o caso, a relação nominal dos empregados que adentrarão no órgão para a execução do serviço;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Responsabilizar-se por todas as obrigações trabalhistas, sociais, previdenciárias, tributárias e as demais previstas na legislação específica, cuja inadimplência não transfere responsabilidade à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Apresentar, quando solicitado pela Administração, atestado de antecedentes criminais e distribuição cível de toda a mão de obra oferecida para atuar nas instalações do órgão;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quanto à necessidade de acatar as Normas Internas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Relatar à Contratante toda e qualquer irregularidade verificada no decorrer da prestação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Não permitir a utilização de qualquer trabalho de menor de dezesseis anos, exceto na condição de aprendiz para os maiores de quatorze anos; nem permitir a utilização do trabalho do menor de dezoito anos em trabalho noturno, perigoso ou insalubre;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durante toda a vigência do contrato, em compatibilidade com as obrigações assumidas, todas as condições de habilitação e qualificação exigidas na licitação;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Guardar sigilo sobre todas as informações obtidas em decorrência do cumprimento do contrato;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Manter preposto aceito pela Contratante nos horários e locais de prestação de serviço para representá-la na execução do contrato com capacidade para tomar decisões compatíveis com os compromissos assumidos;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Cumprir, além dos postulados legais vigentes de âmbito federal, estadual ou municipal, as normas de segurança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Instruir os seus empregados, quanto à prevenção de incêndios nas áreas da Contratante;</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Comunicar ao Fiscal do contrato, no prazo de 24 (vinte e quatro) horas, qualquer ocorrência anormal ou acidente que se verifique no local dos serviços;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Prestar todo esclarecimento ou informação solicitada pela Contratante ou por seus prepostos, garantindo-lhes o acesso, a qualquer tempo, ao local dos trabalhos, bem como aos documentos relativos à execução do empreendimento;</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Paralisar, por determinação da Contratante, qualquer atividade que não esteja sendo executada de acordo com a boa técnica ou que ponha em risco a segurança de pessoas ou bens de terceiros;</w:t>
      </w:r>
    </w:p>
    <w:p>
      <w:pPr>
        <w:pStyle w:val="Normal"/>
        <w:numPr>
          <w:ilvl w:val="1"/>
          <w:numId w:val="2"/>
        </w:numPr>
        <w:spacing w:lineRule="auto" w:line="276" w:before="0" w:after="360"/>
        <w:jc w:val="both"/>
        <w:rPr>
          <w:rFonts w:ascii="Times New Roman" w:hAnsi="Times New Roman" w:cs="Times New Roman"/>
          <w:color w:val="000000"/>
        </w:rPr>
      </w:pPr>
      <w:r>
        <w:rPr>
          <w:rFonts w:cs="Times New Roman" w:ascii="Times New Roman" w:hAnsi="Times New Roman"/>
          <w:color w:val="000000"/>
        </w:rPr>
        <w:t>Adotar as providências e precauções necessárias, inclusive consulta nos respectivos órgãos, se necessário for, a fim de que não venham a ser danificadas as redes hidrossanitárias, elétricas e de comunicação;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guarda, manutenção e vigilância de materiais, ferramentas, e tudo o que for necessário à execução dos serviços, durante a vigência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Providenciar junto ao CREA e/ou ao CAU-BR as Anotações e Registros de Responsabilidade Técnica referentes ao objeto do contrato e especialidades pertinentes, nos termos das normas pertinentes (Leis nºs 6.496/77 e 12.378/2010);</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Obter junto ao Município, conforme o caso, as licenças necessárias e demais documentos e autorizações exigíveis, na forma da legislação aplicável;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Ceder os direitos patrimoniais relativos ao projeto ou serviço técnico especializado, para que a Administração possa utilizá-lo de acordo com o previsto neste Projeto Básico e seus anexos, conforme artigo 111 da Lei n°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Assegurar à CONTRATANTE: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Promover a organização técnica e administrativa dos serviços, de modo a conduzi-los eficaz e eficientemente, de acordo com os documentos e especificações que integram este Projeto Básico, no prazo determinado;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Submeter previamente, por escrito, à Contratante, para análise e aprovação, quaisquer mudanças nos métodos executivos que fujam às especificações do memorial descritivo;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Comprovar a procedência legal dos produtos ou subprodutos florestais utilizados em cada etapa da execução contratual, por ocasião da respectiva medição, mediante a apresentação dos seguintes documentos, conforme o caso:</w:t>
      </w:r>
    </w:p>
    <w:p>
      <w:pPr>
        <w:pStyle w:val="Normal"/>
        <w:numPr>
          <w:ilvl w:val="2"/>
          <w:numId w:val="2"/>
        </w:numPr>
        <w:spacing w:lineRule="auto" w:line="276" w:before="0" w:after="360"/>
        <w:ind w:left="567" w:hanging="0"/>
        <w:jc w:val="both"/>
        <w:rPr>
          <w:rFonts w:ascii="Times New Roman" w:hAnsi="Times New Roman" w:cs="Times New Roman"/>
        </w:rPr>
      </w:pPr>
      <w:bookmarkStart w:id="1" w:name="_Hlk491881345"/>
      <w:r>
        <w:rPr>
          <w:rFonts w:cs="Times New Roman" w:ascii="Times New Roman" w:hAnsi="Times New Roman"/>
        </w:rPr>
        <w:t>Cópias autenticadas das notas fiscais de aquisição dos produtos ou subprodutos florestais;</w:t>
      </w:r>
      <w:bookmarkEnd w:id="1"/>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pPr>
        <w:pStyle w:val="Normal"/>
        <w:numPr>
          <w:ilvl w:val="2"/>
          <w:numId w:val="2"/>
        </w:numPr>
        <w:spacing w:lineRule="auto" w:line="276" w:before="0" w:after="360"/>
        <w:ind w:left="567" w:hanging="0"/>
        <w:jc w:val="both"/>
        <w:rPr>
          <w:rFonts w:ascii="Times New Roman" w:hAnsi="Times New Roman" w:cs="Times New Roman"/>
          <w:color w:val="000000"/>
        </w:rPr>
      </w:pPr>
      <w:r>
        <w:rPr>
          <w:rFonts w:cs="Times New Roman" w:ascii="Times New Roman" w:hAnsi="Times New Roman"/>
          <w:color w:val="00000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A (reutilizáveis ou recicláveis como agregados): deverão ser reutilizados ou reciclados na forma de agregados, ou encaminhados a aterros de resíduos classe A de reservação de material para usos futuros;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B (recicláveis para outras destinações): deverão ser reutilizados, reciclados ou encaminhados a áreas de armazenamento temporário, sendo dispostos de modo a permitir a sua utilização ou reciclagem futura;</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C (para os quais não foram desenvolvidas tecnologias ou aplicações economicamente viáveis que permitam a sua reciclagem/recuperação): deverão ser armazenados, transportados e destinados em conformidade com as normas técnicas específicas;</w:t>
      </w:r>
    </w:p>
    <w:p>
      <w:pPr>
        <w:pStyle w:val="Normal"/>
        <w:numPr>
          <w:ilvl w:val="3"/>
          <w:numId w:val="2"/>
        </w:numPr>
        <w:spacing w:lineRule="auto" w:line="276" w:before="120" w:after="360"/>
        <w:ind w:left="851" w:hanging="0"/>
        <w:jc w:val="both"/>
        <w:rPr>
          <w:rFonts w:ascii="Times New Roman" w:hAnsi="Times New Roman" w:cs="Times New Roman"/>
        </w:rPr>
      </w:pPr>
      <w:r>
        <w:rPr>
          <w:rFonts w:cs="Times New Roman" w:ascii="Times New Roman" w:hAnsi="Times New Roman"/>
        </w:rPr>
        <w:t>resíduos Classe D (perigosos, contaminados ou prejudiciais à saúde): deverão ser armazenados, transportados, reutilizados e destinados em conformidade com as normas técnicas específicas.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Em nenhuma hipótese a Contratada poderá dispor os resíduos originários da contratação em aterros de resíduos sólidos urbanos, áreas de “bota fora”, encostas, corpos d´água, lotes vagos e áreas protegidas por Lei, bem como em áreas não licenciadas;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nºs 15.112, 15.113, 15.114, 15.115 e 15.116, de 2004;</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pPr>
        <w:pStyle w:val="Normal"/>
        <w:numPr>
          <w:ilvl w:val="2"/>
          <w:numId w:val="2"/>
        </w:numPr>
        <w:spacing w:lineRule="auto" w:line="276" w:before="0" w:after="360"/>
        <w:ind w:left="567" w:hanging="0"/>
        <w:jc w:val="both"/>
        <w:rPr>
          <w:rFonts w:ascii="Times New Roman" w:hAnsi="Times New Roman" w:cs="Times New Roman"/>
        </w:rPr>
      </w:pPr>
      <w:r>
        <w:rPr>
          <w:rFonts w:cs="Times New Roman" w:ascii="Times New Roman" w:hAnsi="Times New Roman"/>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Serão de exclusiva responsabilidade da contratada eventuais erros/equívocos no dimensionamento da proposta;</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CONTROLE E FISCALIZAÇÃO DA EXECUÇÃO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ter a qualificação necessária para o acompanhamento e controle da execução dos serviços e do contrato;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verificação da adequação da prestação do serviço deverá ser realizada com base nos critérios previstos neste Projeto Básico;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representante da Contratante deverá promover o registro das ocorrências verificadas, adotando as providências necessárias ao fiel cumprimento das cláusulas contratuais, conforme o disposto nos §§ 1º e 2º do art. 67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DA SUBCONTRATAÇÃO</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Não será admitida a subcontratação do objeto licitatório;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SANÇÕES ADMINISTRATIVAS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As sanções relacionadas à execução contratual serão aquelas previstas no edital da licitação.</w:t>
      </w:r>
    </w:p>
    <w:p>
      <w:pPr>
        <w:pStyle w:val="Normal"/>
        <w:numPr>
          <w:ilvl w:val="0"/>
          <w:numId w:val="2"/>
        </w:numPr>
        <w:spacing w:lineRule="auto" w:line="276" w:before="0" w:after="360"/>
        <w:jc w:val="both"/>
        <w:rPr>
          <w:rFonts w:ascii="Times New Roman" w:hAnsi="Times New Roman" w:cs="Times New Roman"/>
          <w:b/>
          <w:b/>
          <w:u w:val="single"/>
        </w:rPr>
      </w:pPr>
      <w:r>
        <w:rPr>
          <w:rFonts w:cs="Times New Roman" w:ascii="Times New Roman" w:hAnsi="Times New Roman"/>
          <w:b/>
          <w:u w:val="single"/>
        </w:rPr>
        <w:t>ANEXOS</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para todos os fins e efeitos, os seguintes anexos e impressos em mídia digital (CD):</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Caderno de Encargos e Especificações Técnicas;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Estimativa de Custos e Formação de Preços;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Memória de Cálculo;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Curva ABC;</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Planilha de Composição de BDI;</w:t>
      </w:r>
    </w:p>
    <w:p>
      <w:pPr>
        <w:pStyle w:val="Normal"/>
        <w:numPr>
          <w:ilvl w:val="2"/>
          <w:numId w:val="2"/>
        </w:numPr>
        <w:spacing w:lineRule="auto" w:line="276" w:before="0" w:after="360"/>
        <w:jc w:val="both"/>
        <w:rPr>
          <w:rFonts w:ascii="Times New Roman" w:hAnsi="Times New Roman" w:cs="Times New Roman"/>
        </w:rPr>
      </w:pPr>
      <w:r>
        <w:rPr>
          <w:rFonts w:eastAsia="Palatino Linotype" w:cs="Times New Roman" w:ascii="Times New Roman" w:hAnsi="Times New Roman"/>
        </w:rPr>
        <w:t xml:space="preserve"> </w:t>
      </w:r>
      <w:r>
        <w:rPr>
          <w:rFonts w:cs="Times New Roman" w:ascii="Times New Roman" w:hAnsi="Times New Roman"/>
        </w:rPr>
        <w:t>Composição de preços unitário para materiais, equipamentos e serviços;</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Cronograma Físico-Financeiro;</w:t>
      </w:r>
    </w:p>
    <w:p>
      <w:pPr>
        <w:pStyle w:val="Normal"/>
        <w:numPr>
          <w:ilvl w:val="2"/>
          <w:numId w:val="2"/>
        </w:numPr>
        <w:spacing w:lineRule="auto" w:line="276" w:before="0" w:after="360"/>
        <w:jc w:val="both"/>
        <w:rPr>
          <w:rFonts w:ascii="Times New Roman" w:hAnsi="Times New Roman" w:cs="Times New Roman"/>
        </w:rPr>
      </w:pPr>
      <w:r>
        <w:rPr>
          <w:rFonts w:cs="Times New Roman" w:ascii="Times New Roman" w:hAnsi="Times New Roman"/>
        </w:rPr>
        <w:t>Projeto Arquitetônico e/ou completar;</w:t>
      </w:r>
    </w:p>
    <w:p>
      <w:pPr>
        <w:pStyle w:val="Normal"/>
        <w:numPr>
          <w:ilvl w:val="1"/>
          <w:numId w:val="2"/>
        </w:numPr>
        <w:spacing w:lineRule="auto" w:line="276" w:before="0" w:after="360"/>
        <w:jc w:val="both"/>
        <w:rPr>
          <w:rFonts w:ascii="Times New Roman" w:hAnsi="Times New Roman" w:cs="Times New Roman"/>
        </w:rPr>
      </w:pPr>
      <w:r>
        <w:rPr>
          <w:rFonts w:cs="Times New Roman" w:ascii="Times New Roman" w:hAnsi="Times New Roman"/>
        </w:rPr>
        <w:t>Integram este Projeto Básico, ainda, para todos os fins e efeitos, os respectivos projetos de engenharia, bem como os documentos referentes à responsabilidade técnica (ART/RRT referentes à totalidade das peças técnicas produzidas por profissional habilitado).</w:t>
      </w:r>
    </w:p>
    <w:p>
      <w:pPr>
        <w:pStyle w:val="Normal"/>
        <w:spacing w:lineRule="auto" w:line="276" w:before="0" w:after="360"/>
        <w:ind w:left="284" w:hanging="0"/>
        <w:jc w:val="both"/>
        <w:rPr>
          <w:rFonts w:ascii="Times New Roman" w:hAnsi="Times New Roman" w:cs="Times New Roman"/>
        </w:rPr>
      </w:pPr>
      <w:r>
        <w:rPr>
          <w:rFonts w:cs="Times New Roman" w:ascii="Times New Roman" w:hAnsi="Times New Roman"/>
        </w:rPr>
      </w:r>
    </w:p>
    <w:p>
      <w:pPr>
        <w:pStyle w:val="Normal"/>
        <w:spacing w:lineRule="auto" w:line="276" w:before="0" w:after="360"/>
        <w:ind w:left="284" w:hanging="0"/>
        <w:jc w:val="center"/>
        <w:rPr/>
      </w:pPr>
      <w:r>
        <w:rPr>
          <w:rFonts w:eastAsia="Arial Unicode MS" w:cs="Times New Roman" w:ascii="Times New Roman" w:hAnsi="Times New Roman"/>
        </w:rPr>
        <w:t>Arapiraca – AL, 11 de abril de 2023.</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w:t>
      </w:r>
    </w:p>
    <w:p>
      <w:pPr>
        <w:pStyle w:val="Normal"/>
        <w:spacing w:lineRule="auto" w:line="240" w:before="0" w:after="0"/>
        <w:ind w:left="284" w:hanging="0"/>
        <w:jc w:val="center"/>
        <w:rPr>
          <w:rFonts w:ascii="Times New Roman" w:hAnsi="Times New Roman" w:eastAsia="Arial Unicode MS" w:cs="Times New Roman"/>
          <w:b/>
          <w:b/>
        </w:rPr>
      </w:pPr>
      <w:r>
        <w:rPr>
          <w:rFonts w:eastAsia="Arial Unicode MS" w:cs="Times New Roman" w:ascii="Times New Roman" w:hAnsi="Times New Roman"/>
          <w:b/>
        </w:rPr>
        <w:t xml:space="preserve">Sileide Barbosa de Oliveira </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Mat. 120258</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jc w:val="center"/>
        <w:rPr>
          <w:rFonts w:ascii="Times New Roman" w:hAnsi="Times New Roman" w:cs="Times New Roman"/>
          <w:sz w:val="24"/>
          <w:szCs w:val="24"/>
        </w:rPr>
      </w:pPr>
      <w:r>
        <w:rPr>
          <w:rFonts w:cs="Times New Roman" w:ascii="Times New Roman" w:hAnsi="Times New Roman"/>
          <w:sz w:val="24"/>
          <w:szCs w:val="24"/>
        </w:rPr>
        <w:t>__________________________________</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b/>
          <w:sz w:val="24"/>
          <w:szCs w:val="24"/>
        </w:rPr>
        <w:t>Responsável Técnico: Evelyn Nayara Bezerra da Silva</w:t>
      </w:r>
      <w:r>
        <w:rPr>
          <w:rFonts w:cs="Times New Roman" w:ascii="Times New Roman" w:hAnsi="Times New Roman"/>
          <w:sz w:val="24"/>
          <w:szCs w:val="24"/>
        </w:rPr>
        <w:t xml:space="preserve">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eastAsia="Arial Unicode MS" w:cs="Times New Roman" w:ascii="Times New Roman" w:hAnsi="Times New Roman"/>
          <w:sz w:val="24"/>
          <w:szCs w:val="24"/>
        </w:rPr>
        <w:t>CREA/AL Nº 021917556-0</w:t>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40" w:before="0" w:after="0"/>
        <w:ind w:left="284" w:hanging="0"/>
        <w:jc w:val="center"/>
        <w:rPr>
          <w:rFonts w:ascii="Times New Roman" w:hAnsi="Times New Roman" w:eastAsia="Arial Unicode MS" w:cs="Times New Roman"/>
        </w:rPr>
      </w:pPr>
      <w:r>
        <w:rPr>
          <w:rFonts w:eastAsia="Arial Unicode MS" w:cs="Times New Roman" w:ascii="Times New Roman" w:hAnsi="Times New Roman"/>
        </w:rPr>
        <w:t>_____________________________________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 xml:space="preserve">Projeto aprovado por: Fernanda L. Ferreira da Silva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Superintendente de Projetos e Orçamentos de Obras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Arquiteta e Urbanista </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CAU Nº A136028-0</w:t>
      </w:r>
    </w:p>
    <w:p>
      <w:pPr>
        <w:pStyle w:val="Normal"/>
        <w:spacing w:lineRule="auto" w:line="240" w:before="0" w:after="0"/>
        <w:jc w:val="center"/>
        <w:rPr>
          <w:rFonts w:ascii="Times New Roman" w:hAnsi="Times New Roman" w:cs="Times New Roman"/>
        </w:rPr>
      </w:pPr>
      <w:r>
        <w:rPr>
          <w:rFonts w:cs="Times New Roman" w:ascii="Times New Roman" w:hAnsi="Times New Roman"/>
        </w:rPr>
        <w:t xml:space="preserve"> </w:t>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r>
    </w:p>
    <w:p>
      <w:pPr>
        <w:pStyle w:val="Normal"/>
        <w:spacing w:lineRule="auto" w:line="240" w:before="0" w:after="0"/>
        <w:jc w:val="center"/>
        <w:rPr>
          <w:rFonts w:ascii="Times New Roman" w:hAnsi="Times New Roman" w:cs="Times New Roman"/>
        </w:rPr>
      </w:pPr>
      <w:r>
        <w:rPr>
          <w:rFonts w:cs="Times New Roman" w:ascii="Times New Roman" w:hAnsi="Times New Roman"/>
        </w:rPr>
        <w:t>___________________________________</w:t>
      </w:r>
    </w:p>
    <w:p>
      <w:pPr>
        <w:pStyle w:val="Normal"/>
        <w:spacing w:before="0" w:after="0"/>
        <w:jc w:val="center"/>
        <w:rPr>
          <w:rFonts w:ascii="Times New Roman" w:hAnsi="Times New Roman" w:cs="Times New Roman"/>
          <w:sz w:val="24"/>
          <w:szCs w:val="24"/>
        </w:rPr>
      </w:pPr>
      <w:r>
        <w:rPr>
          <w:rFonts w:cs="Times New Roman" w:ascii="Times New Roman" w:hAnsi="Times New Roman"/>
          <w:b/>
          <w:sz w:val="24"/>
          <w:szCs w:val="24"/>
        </w:rPr>
        <w:t>Mallena Soares da Silva</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 xml:space="preserve">Secretaria Adjunta </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Engenheira Civil</w:t>
      </w:r>
    </w:p>
    <w:p>
      <w:pPr>
        <w:pStyle w:val="Normal"/>
        <w:spacing w:before="0" w:after="0"/>
        <w:jc w:val="center"/>
        <w:rPr>
          <w:rFonts w:ascii="Times New Roman" w:hAnsi="Times New Roman" w:cs="Times New Roman"/>
          <w:sz w:val="24"/>
          <w:szCs w:val="24"/>
        </w:rPr>
      </w:pPr>
      <w:r>
        <w:rPr>
          <w:rFonts w:cs="Times New Roman" w:ascii="Times New Roman" w:hAnsi="Times New Roman"/>
          <w:b/>
          <w:color w:val="222222"/>
          <w:sz w:val="24"/>
          <w:szCs w:val="24"/>
        </w:rPr>
        <w:t>CREA Nº 021954204-0.</w:t>
      </w:r>
    </w:p>
    <w:p>
      <w:pPr>
        <w:pStyle w:val="Normal"/>
        <w:spacing w:lineRule="auto" w:line="276" w:before="0" w:after="360"/>
        <w:ind w:left="284" w:hanging="0"/>
        <w:jc w:val="center"/>
        <w:rPr>
          <w:rFonts w:ascii="Times New Roman" w:hAnsi="Times New Roman" w:eastAsia="Arial Unicode MS" w:cs="Times New Roman"/>
        </w:rPr>
      </w:pPr>
      <w:r>
        <w:rPr>
          <w:rFonts w:eastAsia="Arial Unicode MS" w:cs="Times New Roman" w:ascii="Times New Roman" w:hAnsi="Times New Roman"/>
        </w:rPr>
      </w:r>
    </w:p>
    <w:p>
      <w:pPr>
        <w:pStyle w:val="Normal"/>
        <w:spacing w:lineRule="auto" w:line="276" w:before="0" w:after="360"/>
        <w:ind w:left="284" w:hanging="0"/>
        <w:jc w:val="center"/>
        <w:rPr>
          <w:rFonts w:ascii="Times New Roman" w:hAnsi="Times New Roman" w:cs="Times New Roman"/>
        </w:rPr>
      </w:pPr>
      <w:r>
        <w:rPr/>
      </w:r>
    </w:p>
    <w:sectPr>
      <w:headerReference w:type="default" r:id="rId2"/>
      <w:footerReference w:type="default" r:id="rId3"/>
      <w:type w:val="nextPage"/>
      <w:pgSz w:w="11906" w:h="16838"/>
      <w:pgMar w:left="1701" w:right="851" w:gutter="0" w:header="709" w:top="1701" w:footer="73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Futura-BoldOblique">
    <w:altName w:val="Bookman Old"/>
    <w:charset w:val="00"/>
    <w:family w:val="roman"/>
    <w:pitch w:val="variable"/>
  </w:font>
  <w:font w:name="Segoe UI">
    <w:charset w:val="00"/>
    <w:family w:val="roman"/>
    <w:pitch w:val="variable"/>
  </w:font>
  <w:font w:name="Palatino Linotype">
    <w:charset w:val="00"/>
    <w:family w:val="roman"/>
    <w:pitch w:val="variable"/>
  </w:font>
  <w:font w:name="OpenSymbol">
    <w:altName w:val="Arial Unicode MS"/>
    <w:charset w:val="00"/>
    <w:family w:val="roman"/>
    <w:pitch w:val="variable"/>
  </w:font>
  <w:font w:name="Calibri Light">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62071622"/>
    </w:sdtPr>
    <w:sdtContent>
      <w:p>
        <w:pPr>
          <w:pStyle w:val="Rodap"/>
          <w:jc w:val="right"/>
          <w:rPr/>
        </w:pPr>
        <w:r>
          <w:rPr/>
          <w:fldChar w:fldCharType="begin"/>
        </w:r>
        <w:r>
          <w:rPr/>
          <w:instrText xml:space="preserve"> PAGE </w:instrText>
        </w:r>
        <w:r>
          <w:rPr/>
          <w:fldChar w:fldCharType="separate"/>
        </w:r>
        <w:r>
          <w:rPr/>
          <w:t>11</w:t>
        </w:r>
        <w:r>
          <w:rPr/>
          <w:fldChar w:fldCharType="end"/>
        </w:r>
        <w:r>
          <w:rPr/>
          <w:t>/11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tabs>
        <w:tab w:val="center" w:pos="4252" w:leader="none"/>
        <w:tab w:val="left" w:pos="4940" w:leader="none"/>
        <w:tab w:val="right" w:pos="8504" w:leader="none"/>
      </w:tabs>
      <w:rPr/>
    </w:pPr>
    <w:r>
      <w:rPr>
        <w:rFonts w:cs="Arial" w:ascii="Arial" w:hAnsi="Arial"/>
        <w:sz w:val="24"/>
        <w:szCs w:val="24"/>
        <w:lang w:eastAsia="pt-BR"/>
      </w:rPr>
      <w:t xml:space="preserve"> </w:t>
    </w:r>
    <w:r>
      <w:rPr/>
      <w:drawing>
        <wp:inline distT="0" distB="0" distL="0" distR="0">
          <wp:extent cx="1652270" cy="499745"/>
          <wp:effectExtent l="0" t="0" r="0" b="0"/>
          <wp:docPr id="1"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descr=""/>
                  <pic:cNvPicPr>
                    <a:picLocks noChangeAspect="1" noChangeArrowheads="1"/>
                  </pic:cNvPicPr>
                </pic:nvPicPr>
                <pic:blipFill>
                  <a:blip r:embed="rId1"/>
                  <a:stretch>
                    <a:fillRect/>
                  </a:stretch>
                </pic:blipFill>
                <pic:spPr bwMode="auto">
                  <a:xfrm>
                    <a:off x="0" y="0"/>
                    <a:ext cx="1652270" cy="499745"/>
                  </a:xfrm>
                  <a:prstGeom prst="rect">
                    <a:avLst/>
                  </a:prstGeom>
                </pic:spPr>
              </pic:pic>
            </a:graphicData>
          </a:graphic>
        </wp:inline>
      </w:drawing>
    </w:r>
    <w:r>
      <w:rPr/>
      <mc:AlternateContent>
        <mc:Choice Requires="wps">
          <w:drawing>
            <wp:anchor behindDoc="1" distT="0" distB="0" distL="0" distR="0" simplePos="0" locked="0" layoutInCell="0" allowOverlap="1" relativeHeight="22">
              <wp:simplePos x="0" y="0"/>
              <wp:positionH relativeFrom="margin">
                <wp:posOffset>2098675</wp:posOffset>
              </wp:positionH>
              <wp:positionV relativeFrom="paragraph">
                <wp:posOffset>67945</wp:posOffset>
              </wp:positionV>
              <wp:extent cx="3953510" cy="477520"/>
              <wp:effectExtent l="0" t="0" r="0" b="0"/>
              <wp:wrapNone/>
              <wp:docPr id="2" name="Quadro1"/>
              <a:graphic xmlns:a="http://schemas.openxmlformats.org/drawingml/2006/main">
                <a:graphicData uri="http://schemas.microsoft.com/office/word/2010/wordprocessingShape">
                  <wps:wsp>
                    <wps:cNvSpPr/>
                    <wps:spPr>
                      <a:xfrm>
                        <a:off x="0" y="0"/>
                        <a:ext cx="3953520" cy="477360"/>
                      </a:xfrm>
                      <a:prstGeom prst="rect">
                        <a:avLst/>
                      </a:prstGeom>
                      <a:solidFill>
                        <a:srgbClr val="ffffff"/>
                      </a:solidFill>
                      <a:ln w="0">
                        <a:noFill/>
                      </a:ln>
                    </wps:spPr>
                    <wps:style>
                      <a:lnRef idx="0"/>
                      <a:fillRef idx="0"/>
                      <a:effectRef idx="0"/>
                      <a:fontRef idx="minor"/>
                    </wps:style>
                    <wps:txb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spacing w:before="0" w:after="160"/>
                            <w:jc w:val="right"/>
                            <w:rPr>
                              <w:rFonts w:ascii="Arial" w:hAnsi="Arial" w:cs="Arial"/>
                              <w:b/>
                              <w:b/>
                              <w:sz w:val="24"/>
                            </w:rPr>
                          </w:pPr>
                          <w:r>
                            <w:rPr>
                              <w:rFonts w:cs="Arial" w:ascii="Arial" w:hAnsi="Arial"/>
                              <w:b/>
                              <w:sz w:val="24"/>
                            </w:rPr>
                          </w:r>
                        </w:p>
                      </w:txbxContent>
                    </wps:txbx>
                    <wps:bodyPr anchor="t">
                      <a:noAutofit/>
                    </wps:bodyPr>
                  </wps:wsp>
                </a:graphicData>
              </a:graphic>
            </wp:anchor>
          </w:drawing>
        </mc:Choice>
        <mc:Fallback>
          <w:pict>
            <v:rect id="shape_0" ID="Quadro1" path="m0,0l-2147483645,0l-2147483645,-2147483646l0,-2147483646xe" fillcolor="white" stroked="f" o:allowincell="f" style="position:absolute;margin-left:165.25pt;margin-top:5.35pt;width:311.25pt;height:37.55pt;mso-wrap-style:square;v-text-anchor:top;mso-position-horizontal-relative:margin">
              <v:fill o:detectmouseclick="t" type="solid" color2="black"/>
              <v:stroke color="#3465a4" joinstyle="round" endcap="flat"/>
              <v:textbox>
                <w:txbxContent>
                  <w:p>
                    <w:pPr>
                      <w:pStyle w:val="Contedodoquadro"/>
                      <w:jc w:val="right"/>
                      <w:rPr>
                        <w:color w:val="000000"/>
                      </w:rPr>
                    </w:pPr>
                    <w:r>
                      <w:rPr>
                        <w:rFonts w:cs="Arial" w:ascii="Arial" w:hAnsi="Arial"/>
                        <w:b/>
                        <w:color w:val="000000"/>
                        <w:sz w:val="24"/>
                      </w:rPr>
                      <w:t>SECRETARIA MUNICIPAL DE INFRAESTRUTURA</w:t>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jc w:val="right"/>
                      <w:rPr>
                        <w:rFonts w:ascii="Arial" w:hAnsi="Arial" w:cs="Arial"/>
                        <w:b/>
                        <w:b/>
                        <w:sz w:val="24"/>
                      </w:rPr>
                    </w:pPr>
                    <w:r>
                      <w:rPr>
                        <w:rFonts w:cs="Arial" w:ascii="Arial" w:hAnsi="Arial"/>
                        <w:b/>
                        <w:sz w:val="24"/>
                      </w:rPr>
                    </w:r>
                  </w:p>
                  <w:p>
                    <w:pPr>
                      <w:pStyle w:val="Contedodoquadro"/>
                      <w:spacing w:before="0" w:after="160"/>
                      <w:jc w:val="right"/>
                      <w:rPr>
                        <w:rFonts w:ascii="Arial" w:hAnsi="Arial" w:cs="Arial"/>
                        <w:b/>
                        <w:b/>
                        <w:sz w:val="24"/>
                      </w:rPr>
                    </w:pPr>
                    <w:r>
                      <w:rPr>
                        <w:rFonts w:cs="Arial" w:ascii="Arial" w:hAnsi="Arial"/>
                        <w:b/>
                        <w:sz w:val="24"/>
                      </w:rPr>
                    </w:r>
                  </w:p>
                </w:txbxContent>
              </v:textbox>
              <w10:wrap type="none"/>
            </v:rect>
          </w:pict>
        </mc:Fallback>
      </mc:AlternateContent>
    </w:r>
    <w:r>
      <w:rPr/>
      <w:tab/>
    </w:r>
  </w:p>
  <w:p>
    <w:pPr>
      <w:pStyle w:val="Cabealho"/>
      <w:tabs>
        <w:tab w:val="left" w:pos="1590" w:leader="none"/>
        <w:tab w:val="center" w:pos="4252" w:leader="none"/>
        <w:tab w:val="right" w:pos="8504" w:leader="none"/>
      </w:tabs>
      <w:rPr/>
    </w:pPr>
    <w:r>
      <w:rPr/>
      <w:tab/>
    </w:r>
    <w:r>
      <w:rPr/>
      <w:drawing>
        <wp:inline distT="0" distB="0" distL="0" distR="0">
          <wp:extent cx="5939790" cy="46355"/>
          <wp:effectExtent l="0" t="0" r="0" b="0"/>
          <wp:docPr id="4"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7" descr=""/>
                  <pic:cNvPicPr>
                    <a:picLocks noChangeAspect="1" noChangeArrowheads="1"/>
                  </pic:cNvPicPr>
                </pic:nvPicPr>
                <pic:blipFill>
                  <a:blip r:embed="rId2"/>
                  <a:stretch>
                    <a:fillRect/>
                  </a:stretch>
                </pic:blipFill>
                <pic:spPr bwMode="auto">
                  <a:xfrm>
                    <a:off x="0" y="0"/>
                    <a:ext cx="5939790" cy="46355"/>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suff w:val="space"/>
      <w:lvlText w:val="%1."/>
      <w:lvlJc w:val="left"/>
      <w:pPr>
        <w:tabs>
          <w:tab w:val="num" w:pos="0"/>
        </w:tabs>
        <w:ind w:left="0" w:hanging="0"/>
      </w:pPr>
      <w:rPr>
        <w:sz w:val="20"/>
        <w:i w:val="false"/>
        <w:b/>
        <w:szCs w:val="20"/>
        <w:rFonts w:ascii="Palatino Linotype" w:hAnsi="Palatino Linotype" w:eastAsia="Arial Unicode MS" w:cs="Palatino Linotype"/>
      </w:rPr>
    </w:lvl>
    <w:lvl w:ilvl="1">
      <w:start w:val="1"/>
      <w:numFmt w:val="decimal"/>
      <w:suff w:val="space"/>
      <w:lvlText w:val="%1.%2."/>
      <w:lvlJc w:val="left"/>
      <w:pPr>
        <w:tabs>
          <w:tab w:val="num" w:pos="0"/>
        </w:tabs>
        <w:ind w:left="284" w:hanging="0"/>
      </w:pPr>
      <w:rPr>
        <w:sz w:val="20"/>
        <w:i w:val="false"/>
        <w:b/>
        <w:szCs w:val="20"/>
        <w:rFonts w:ascii="Palatino Linotype" w:hAnsi="Palatino Linotype" w:eastAsia="Arial Unicode MS" w:cs="Palatino Linotype"/>
      </w:rPr>
    </w:lvl>
    <w:lvl w:ilvl="2">
      <w:start w:val="1"/>
      <w:numFmt w:val="decimal"/>
      <w:suff w:val="space"/>
      <w:lvlText w:val="%1.%2.%3."/>
      <w:lvlJc w:val="left"/>
      <w:pPr>
        <w:tabs>
          <w:tab w:val="num" w:pos="0"/>
        </w:tabs>
        <w:ind w:left="1134" w:hanging="0"/>
      </w:pPr>
      <w:rPr>
        <w:sz w:val="20"/>
        <w:i w:val="false"/>
        <w:b/>
        <w:szCs w:val="20"/>
        <w:rFonts w:ascii="Palatino Linotype" w:hAnsi="Palatino Linotype" w:eastAsia="Arial Unicode MS" w:cs="Palatino Linotype"/>
      </w:rPr>
    </w:lvl>
    <w:lvl w:ilvl="3">
      <w:start w:val="1"/>
      <w:numFmt w:val="decimal"/>
      <w:suff w:val="space"/>
      <w:lvlText w:val="%1.%2.%3.%4."/>
      <w:lvlJc w:val="left"/>
      <w:pPr>
        <w:tabs>
          <w:tab w:val="num" w:pos="0"/>
        </w:tabs>
        <w:ind w:left="1985" w:hanging="0"/>
      </w:pPr>
      <w:rPr>
        <w:sz w:val="20"/>
        <w:i w:val="false"/>
        <w:b/>
        <w:szCs w:val="20"/>
        <w:rFonts w:ascii="Palatino Linotype" w:hAnsi="Palatino Linotype" w:eastAsia="Arial Unicode MS" w:cs="Palatino Linotype"/>
      </w:rPr>
    </w:lvl>
    <w:lvl w:ilvl="4">
      <w:start w:val="1"/>
      <w:numFmt w:val="lowerLetter"/>
      <w:lvlText w:val="%5."/>
      <w:lvlJc w:val="left"/>
      <w:pPr>
        <w:tabs>
          <w:tab w:val="num" w:pos="0"/>
        </w:tabs>
        <w:ind w:left="2835" w:hanging="0"/>
      </w:pPr>
      <w:rPr>
        <w:sz w:val="20"/>
        <w:i w:val="false"/>
        <w:b/>
        <w:szCs w:val="20"/>
        <w:rFonts w:eastAsia="Arial Unicode MS" w:cs="Palatino Linotype"/>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306"/>
  <w:autoHyphenation w:val="true"/>
  <w:hyphenationZone w:val="425"/>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color w:val="00000A"/>
      <w:kern w:val="0"/>
      <w:sz w:val="22"/>
      <w:szCs w:val="22"/>
      <w:lang w:val="pt-BR" w:eastAsia="en-US" w:bidi="ar-SA"/>
    </w:rPr>
  </w:style>
  <w:style w:type="paragraph" w:styleId="Ttulo3">
    <w:name w:val="Heading 3"/>
    <w:basedOn w:val="Normal"/>
    <w:next w:val="Normal"/>
    <w:qFormat/>
    <w:pPr>
      <w:keepNext w:val="true"/>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val="true"/>
      <w:numPr>
        <w:ilvl w:val="3"/>
        <w:numId w:val="1"/>
      </w:numPr>
      <w:spacing w:before="0" w:after="360"/>
      <w:jc w:val="center"/>
      <w:outlineLvl w:val="3"/>
    </w:pPr>
    <w:rPr>
      <w:b/>
      <w:bCs/>
      <w:u w:val="single"/>
      <w:shd w:fill="B3B3B3" w:val="clear"/>
    </w:rPr>
  </w:style>
  <w:style w:type="character" w:styleId="DefaultParagraphFont" w:default="1">
    <w:name w:val="Default Paragraph Font"/>
    <w:uiPriority w:val="1"/>
    <w:unhideWhenUsed/>
    <w:qFormat/>
    <w:rPr/>
  </w:style>
  <w:style w:type="character" w:styleId="CabealhoChar" w:customStyle="1">
    <w:name w:val="Cabeçalho Char"/>
    <w:basedOn w:val="DefaultParagraphFont"/>
    <w:uiPriority w:val="99"/>
    <w:qFormat/>
    <w:rsid w:val="004445e3"/>
    <w:rPr/>
  </w:style>
  <w:style w:type="character" w:styleId="RodapChar" w:customStyle="1">
    <w:name w:val="Rodapé Char"/>
    <w:basedOn w:val="DefaultParagraphFont"/>
    <w:uiPriority w:val="99"/>
    <w:qFormat/>
    <w:rsid w:val="004445e3"/>
    <w:rPr/>
  </w:style>
  <w:style w:type="character" w:styleId="TextodebaloChar" w:customStyle="1">
    <w:name w:val="Texto de balão Char"/>
    <w:basedOn w:val="DefaultParagraphFont"/>
    <w:link w:val="BalloonText"/>
    <w:uiPriority w:val="99"/>
    <w:semiHidden/>
    <w:qFormat/>
    <w:rsid w:val="005760a9"/>
    <w:rPr>
      <w:rFonts w:ascii="Segoe UI" w:hAnsi="Segoe UI" w:cs="Segoe UI"/>
      <w:sz w:val="18"/>
      <w:szCs w:val="18"/>
    </w:rPr>
  </w:style>
  <w:style w:type="character" w:styleId="Hyperlink1" w:customStyle="1">
    <w:name w:val="Hyperlink1"/>
    <w:qFormat/>
    <w:rPr>
      <w:color w:val="0000FF"/>
      <w:u w:val="single"/>
    </w:rPr>
  </w:style>
  <w:style w:type="character" w:styleId="Nfase">
    <w:name w:val="Emphasis"/>
    <w:qFormat/>
    <w:rPr>
      <w:i/>
      <w:iCs/>
    </w:rPr>
  </w:style>
  <w:style w:type="character" w:styleId="WW8Num2z0" w:customStyle="1">
    <w:name w:val="WW8Num2z0"/>
    <w:qFormat/>
    <w:rPr>
      <w:rFonts w:ascii="Palatino Linotype" w:hAnsi="Palatino Linotype" w:eastAsia="Arial Unicode MS" w:cs="Palatino Linotype"/>
      <w:b/>
      <w:i w:val="false"/>
      <w:sz w:val="20"/>
      <w:szCs w:val="20"/>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rong">
    <w:name w:val="Strong"/>
    <w:qFormat/>
    <w:rPr>
      <w:b/>
      <w:bCs/>
    </w:rPr>
  </w:style>
  <w:style w:type="character" w:styleId="Annotationreference">
    <w:name w:val="annotation reference"/>
    <w:qFormat/>
    <w:rPr>
      <w:rFonts w:ascii="Times New Roman" w:hAnsi="Times New Roman" w:eastAsia="Times New Roman" w:cs="Times New Roman"/>
      <w:color w:val="000000"/>
      <w:sz w:val="16"/>
      <w:szCs w:val="16"/>
    </w:rPr>
  </w:style>
  <w:style w:type="character" w:styleId="TextodecomentrioChar" w:customStyle="1">
    <w:name w:val="Texto de comentário Char"/>
    <w:qFormat/>
    <w:rPr>
      <w:rFonts w:ascii="Times New Roman" w:hAnsi="Times New Roman" w:eastAsia="Times New Roman" w:cs="Times New Roman"/>
      <w:color w:val="000000"/>
      <w:sz w:val="20"/>
      <w:szCs w:val="20"/>
    </w:rPr>
  </w:style>
  <w:style w:type="character" w:styleId="AssuntodocomentrioChar" w:customStyle="1">
    <w:name w:val="Assunto do comentário Char"/>
    <w:qFormat/>
    <w:rPr>
      <w:rFonts w:ascii="Times New Roman" w:hAnsi="Times New Roman" w:eastAsia="Times New Roman" w:cs="Times New Roman"/>
      <w:b/>
      <w:bCs/>
      <w:color w:val="000000"/>
      <w:sz w:val="20"/>
      <w:szCs w:val="20"/>
    </w:rPr>
  </w:style>
  <w:style w:type="character" w:styleId="Ttulo1Char" w:customStyle="1">
    <w:name w:val="Título 1 Char"/>
    <w:qFormat/>
    <w:rPr>
      <w:rFonts w:ascii="Times New Roman" w:hAnsi="Times New Roman" w:cs="0"/>
      <w:b/>
      <w:bCs/>
      <w:color w:val="000000"/>
      <w:szCs w:val="28"/>
    </w:rPr>
  </w:style>
  <w:style w:type="character" w:styleId="CitaoChar" w:customStyle="1">
    <w:name w:val="Citação Char"/>
    <w:qFormat/>
    <w:rPr>
      <w:rFonts w:ascii="Times New Roman" w:hAnsi="Times New Roman" w:eastAsia="Times New Roman" w:cs="Times New Roman"/>
      <w:i/>
      <w:iCs/>
      <w:color w:val="000000"/>
      <w:sz w:val="24"/>
      <w:szCs w:val="24"/>
    </w:rPr>
  </w:style>
  <w:style w:type="character" w:styleId="Marcas" w:customStyle="1">
    <w:name w:val="Marcas"/>
    <w:qFormat/>
    <w:rPr>
      <w:rFonts w:ascii="OpenSymbol" w:hAnsi="OpenSymbol" w:eastAsia="OpenSymbol" w:cs="OpenSymbol"/>
    </w:rPr>
  </w:style>
  <w:style w:type="character" w:styleId="Normaltextrun" w:customStyle="1">
    <w:name w:val="normaltextrun"/>
    <w:qFormat/>
    <w:rPr/>
  </w:style>
  <w:style w:type="character" w:styleId="Ttulo4Char" w:customStyle="1">
    <w:name w:val="Título 4 Char"/>
    <w:qFormat/>
    <w:rPr>
      <w:rFonts w:ascii="Calibri Light" w:hAnsi="Calibri Light" w:cs="0"/>
      <w:b/>
      <w:bCs/>
      <w:i/>
      <w:iCs/>
      <w:color w:val="5B9BD5"/>
      <w:sz w:val="22"/>
      <w:szCs w:val="24"/>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etexto1"/>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detexto1"/>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Corpodetexto1" w:customStyle="1">
    <w:name w:val="Corpo de texto1"/>
    <w:basedOn w:val="Normal"/>
    <w:qFormat/>
    <w:pPr>
      <w:spacing w:before="0" w:after="120"/>
    </w:pPr>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4445e3"/>
    <w:pPr>
      <w:tabs>
        <w:tab w:val="clear" w:pos="306"/>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4445e3"/>
    <w:pPr>
      <w:tabs>
        <w:tab w:val="clear" w:pos="306"/>
        <w:tab w:val="center" w:pos="4252" w:leader="none"/>
        <w:tab w:val="right" w:pos="8504" w:leader="none"/>
      </w:tabs>
      <w:spacing w:lineRule="auto" w:line="240" w:before="0" w:after="0"/>
    </w:pPr>
    <w:rPr/>
  </w:style>
  <w:style w:type="paragraph" w:styleId="BalloonText">
    <w:name w:val="Balloon Text"/>
    <w:basedOn w:val="Normal"/>
    <w:link w:val="TextodebaloChar"/>
    <w:uiPriority w:val="99"/>
    <w:semiHidden/>
    <w:unhideWhenUsed/>
    <w:qFormat/>
    <w:rsid w:val="005760a9"/>
    <w:pPr>
      <w:spacing w:lineRule="auto" w:line="240" w:before="0" w:after="0"/>
    </w:pPr>
    <w:rPr>
      <w:rFonts w:ascii="Segoe UI" w:hAnsi="Segoe UI" w:cs="Segoe UI"/>
      <w:sz w:val="18"/>
      <w:szCs w:val="18"/>
    </w:rPr>
  </w:style>
  <w:style w:type="paragraph" w:styleId="Contedodoquadro" w:customStyle="1">
    <w:name w:val="Conteúdo do quadro"/>
    <w:basedOn w:val="Normal"/>
    <w:qFormat/>
    <w:pPr/>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paragraph" w:styleId="ListParagraph">
    <w:name w:val="List Paragraph"/>
    <w:basedOn w:val="Normal"/>
    <w:qFormat/>
    <w:pPr>
      <w:spacing w:before="0" w:after="160"/>
      <w:ind w:left="720" w:hanging="0"/>
      <w:contextualSpacing/>
    </w:pPr>
    <w:rPr/>
  </w:style>
  <w:style w:type="paragraph" w:styleId="Xm6224323595084648008msolistparagraph" w:customStyle="1">
    <w:name w:val="x_m_6224323595084648008msolistparagraph"/>
    <w:basedOn w:val="Normal"/>
    <w:qFormat/>
    <w:pPr>
      <w:spacing w:lineRule="exact" w:line="240" w:beforeAutospacing="1" w:afterAutospacing="1"/>
    </w:pPr>
    <w:rPr>
      <w:rFonts w:ascii="Times New Roman" w:hAnsi="Times New Roman" w:eastAsia="Times New Roman" w:cs="Times New Roman"/>
      <w:lang w:eastAsia="pt-BR"/>
    </w:rPr>
  </w:style>
  <w:style w:type="paragraph" w:styleId="Xmsonormal" w:customStyle="1">
    <w:name w:val="x_msonormal"/>
    <w:basedOn w:val="Normal"/>
    <w:qFormat/>
    <w:pPr>
      <w:spacing w:lineRule="exact" w:line="240" w:beforeAutospacing="1" w:afterAutospacing="1"/>
    </w:pPr>
    <w:rPr>
      <w:rFonts w:ascii="Times New Roman" w:hAnsi="Times New Roman" w:eastAsia="Times New Roman" w:cs="Times New Roman"/>
      <w:lang w:eastAsia="pt-BR"/>
    </w:rPr>
  </w:style>
  <w:style w:type="paragraph" w:styleId="Annotationtext">
    <w:name w:val="annotation text"/>
    <w:basedOn w:val="Normal"/>
    <w:qFormat/>
    <w:pPr>
      <w:spacing w:lineRule="exact" w:line="240"/>
    </w:pPr>
    <w:rPr>
      <w:sz w:val="20"/>
      <w:szCs w:val="20"/>
    </w:rPr>
  </w:style>
  <w:style w:type="paragraph" w:styleId="Annotationsubject">
    <w:name w:val="annotation subject"/>
    <w:qFormat/>
    <w:pPr>
      <w:widowControl/>
      <w:suppressAutoHyphens w:val="true"/>
      <w:bidi w:val="0"/>
      <w:spacing w:lineRule="exact" w:line="240" w:before="0" w:after="0"/>
      <w:jc w:val="left"/>
    </w:pPr>
    <w:rPr>
      <w:rFonts w:ascii="Calibri" w:hAnsi="Calibri" w:eastAsia="Calibri" w:cs="0" w:asciiTheme="minorHAnsi" w:eastAsiaTheme="minorHAnsi" w:hAnsiTheme="minorHAnsi"/>
      <w:b/>
      <w:bCs/>
      <w:color w:val="auto"/>
      <w:kern w:val="0"/>
      <w:sz w:val="20"/>
      <w:szCs w:val="20"/>
      <w:lang w:val="pt-BR" w:eastAsia="en-US" w:bidi="ar-SA"/>
    </w:rPr>
  </w:style>
  <w:style w:type="paragraph" w:styleId="Revision">
    <w:name w:val="Revision"/>
    <w:qFormat/>
    <w:pPr>
      <w:widowControl/>
      <w:suppressAutoHyphens w:val="true"/>
      <w:bidi w:val="0"/>
      <w:spacing w:before="0" w:after="0"/>
      <w:jc w:val="left"/>
    </w:pPr>
    <w:rPr>
      <w:rFonts w:ascii="Calibri" w:hAnsi="Calibri" w:eastAsia="Calibri" w:cs="0" w:asciiTheme="minorHAnsi" w:eastAsiaTheme="minorHAnsi" w:hAnsiTheme="minorHAnsi"/>
      <w:color w:val="auto"/>
      <w:kern w:val="0"/>
      <w:sz w:val="22"/>
      <w:szCs w:val="22"/>
      <w:lang w:val="pt-BR" w:eastAsia="en-US" w:bidi="ar-SA"/>
    </w:rPr>
  </w:style>
  <w:style w:type="paragraph" w:styleId="NoSpacing">
    <w:name w:val="No Spacing"/>
    <w:qFormat/>
    <w:pPr>
      <w:widowControl/>
      <w:suppressAutoHyphens w:val="true"/>
      <w:bidi w:val="0"/>
      <w:spacing w:before="0" w:after="0"/>
      <w:jc w:val="left"/>
    </w:pPr>
    <w:rPr>
      <w:rFonts w:ascii="Calibri" w:hAnsi="Calibri" w:eastAsia="Calibri" w:cs="0" w:asciiTheme="minorHAnsi" w:eastAsiaTheme="minorHAnsi" w:hAnsiTheme="minorHAnsi"/>
      <w:color w:val="auto"/>
      <w:kern w:val="0"/>
      <w:sz w:val="22"/>
      <w:szCs w:val="22"/>
      <w:lang w:val="pt-BR" w:eastAsia="en-US" w:bidi="ar-SA"/>
    </w:rPr>
  </w:style>
  <w:style w:type="paragraph" w:styleId="Quote">
    <w:name w:val="Quote"/>
    <w:basedOn w:val="Normal"/>
    <w:next w:val="Normal"/>
    <w:qFormat/>
    <w:pPr/>
    <w:rPr>
      <w:i/>
      <w:iCs/>
      <w:color w:val="000000"/>
    </w:rPr>
  </w:style>
  <w:style w:type="paragraph" w:styleId="NormalWeb">
    <w:name w:val="Normal (Web)"/>
    <w:basedOn w:val="Normal"/>
    <w:qFormat/>
    <w:pPr>
      <w:spacing w:lineRule="exact" w:line="312" w:beforeAutospacing="1" w:after="142"/>
      <w:ind w:firstLine="709"/>
      <w:jc w:val="both"/>
    </w:pPr>
    <w:rPr>
      <w:rFonts w:ascii="Times New Roman" w:hAnsi="Times New Roman" w:eastAsia="Times New Roman" w:cs="Times New Roman"/>
      <w:lang w:eastAsia="pt-BR"/>
    </w:rPr>
  </w:style>
  <w:style w:type="paragraph" w:styleId="Western" w:customStyle="1">
    <w:name w:val="western"/>
    <w:basedOn w:val="Normal"/>
    <w:qFormat/>
    <w:pPr>
      <w:spacing w:before="280" w:after="119"/>
    </w:pPr>
    <w:rPr/>
  </w:style>
  <w:style w:type="paragraph" w:styleId="Contedodetabela" w:customStyle="1">
    <w:name w:val="Conteúdo de tabela"/>
    <w:basedOn w:val="Normal"/>
    <w:qFormat/>
    <w:pPr/>
    <w:rPr/>
  </w:style>
  <w:style w:type="numbering" w:styleId="NoList" w:default="1">
    <w:name w:val="No List"/>
    <w:uiPriority w:val="99"/>
    <w:semiHidden/>
    <w:unhideWhenUsed/>
    <w:qFormat/>
  </w:style>
  <w:style w:type="numbering" w:styleId="WW8Num2" w:customStyle="1">
    <w:name w:val="WW8Num2"/>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F705B-E180-4921-95D8-ADC4F899A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Application>LibreOffice/7.4.2.3$Windows_X86_64 LibreOffice_project/382eef1f22670f7f4118c8c2dd222ec7ad009daf</Application>
  <AppVersion>15.0000</AppVersion>
  <Pages>11</Pages>
  <Words>3849</Words>
  <Characters>22906</Characters>
  <CharactersWithSpaces>26514</CharactersWithSpaces>
  <Paragraphs>145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2023-05-02T02:32:00Z</dcterms:created>
  <dc:creator>Barbara Thais da Silva</dc:creator>
  <dc:description/>
  <dc:language>pt-BR</dc:language>
  <cp:lastModifiedBy/>
  <cp:lastPrinted>2023-05-05T10:03:56Z</cp:lastPrinted>
  <dcterms:modified xsi:type="dcterms:W3CDTF">2023-05-05T10:05:23Z</dcterms:modified>
  <cp:revision>58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